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Притяжательные именные группы в семи юго-западных языках манде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Притяжательная (посессивная) именная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1.1. Общая характеристика: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Словосочетание, состоящее из существительных, одно из которых обязательно является посессором (вершиной), а другое - обладаемым (зависимым). Может включать в себя показатель конструкции - элемент, показывающий, что вершина и зависимое связаны [Koptjevskaya-Tamm 2003: 621];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Структура ПИГ является одним из базовых типологических параметров;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1.1. Различия в структуре ПИГ в языках мира проявляются в: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Порядке слов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вершина-зависимое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против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зависимое-вершина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[Greenberg 1963];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Структурно-семантической классификации по типам принадлежности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отчуждаемая принадлежность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против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неотчуждаемой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[Croft 1990, Heine 1977 и т. д.];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Классификации по типам маркирования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вершинное, зависимостное, двойное, примыкающее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аналитическое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[Nichols 1986; Nichols &amp; Bickel 2007];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настоящей работе были рассмотрены притяжательные именные группы в семи юго-западных языках манде.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Юго-западные языки манде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2.1. Общая характеристика: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Одна из ветвей языковой семьи манде;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состав входят менде, локо, банди, зиало, гвинейский лоома, гвинейский кпелле, либерийский кпелле;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Распространены в Западной Африке в Либерии, Гвинее и Сьерра-Леоне;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Являются тоновыми языками. В ЮЗМ существует три типа использования тонов: лексическое (тоны несет лексема), фонологическое (могут быть синтаксически ограниченными, но всегда будут являться фонологически предсказуемыми)  и морфологическое (синтаксически непредсказуемые; объяснить можно только с помощью морфологии);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2.2. Основные свойства притяжательной ИГ в ЮЗМ: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Зависимое всегда предшествует вершине;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Существуют три класса существительных: существительные со значением отчуждаемой принадлежности; и два класса существительных со значением неотчуждаемой принадлежности, существительные, обозначающие термины родства и существительные, обозначающие части тела;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Используются только три типа маркирования: вершинное, примыкающее и аналитическое;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2.3. Примеры типов маркирования в ЮЗМ: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Вершинное маркирование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(1) Гвинейский лоома:</w:t>
      </w:r>
    </w:p>
    <w:tbl>
      <w:tblPr>
        <w:tblStyle w:val="Table1"/>
        <w:bidiVisual w:val="0"/>
        <w:tblW w:w="4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85"/>
        <w:gridCol w:w="2595"/>
        <w:tblGridChange w:id="0">
          <w:tblGrid>
            <w:gridCol w:w="1485"/>
            <w:gridCol w:w="25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Folomo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Фоломо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3SG.POSS/мать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'мать Фоломо'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[Выдрин 1987: 39]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Примыкающее маркирование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(2) Банди: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3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80"/>
        <w:gridCol w:w="1365"/>
        <w:tblGridChange w:id="0">
          <w:tblGrid>
            <w:gridCol w:w="1680"/>
            <w:gridCol w:w="13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867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nyahaí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vέlὲí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женщина.DEF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дом.DEF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90" w:firstLine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'дом женщины'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[аноним: 14]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Аналитическое маркирование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(3) Менде: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3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5"/>
        <w:gridCol w:w="1275"/>
        <w:gridCol w:w="870"/>
        <w:tblGridChange w:id="0">
          <w:tblGrid>
            <w:gridCol w:w="1125"/>
            <w:gridCol w:w="1275"/>
            <w:gridCol w:w="8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ndòpói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ngí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njé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ребе-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нок.DEF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3SG.POSS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мать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‘мать ребенка’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[Innes 1971: 43]</w:t>
      </w:r>
    </w:p>
    <w:p w:rsidR="00000000" w:rsidDel="00000000" w:rsidP="00000000" w:rsidRDefault="00000000" w:rsidRPr="00000000">
      <w:pPr>
        <w:spacing w:line="240" w:lineRule="auto"/>
        <w:ind w:left="720" w:firstLine="633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2.3. Дублирование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материалах нашего исследования не было найдено аргументов в пользу разделения вершинного и аналитического маркирования, кроме наличия пробела между посессивным маркером и вершиной в аналитическом маркировании; в настоящей работе будет использоваться не сравнение языков по типам маркирования, а по наличию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(примеры 1, 3)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или отсутствию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(пример 2) дублирования посесcивного маркера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2.4. Структура ПИГ в ЮЗМ зависит от класса сущ.-вершины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Противопоставление проявляется на трех уровнях: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Фонологическом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тональные правила, применимые к ИГ, различаются в зависимости от класса существительного-вершины;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Морфологическом -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серии посессивных местоимений, используемых в конструкциях с анафорическим посессором, различаются в зависимости от класса существительного-вершины;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Синтаксическом -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наличие или отсутствие дублирования посессивного маркера в конструкциях с лексическим посессором в зависимости от статуса существительного-вершины;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Способ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нашей работе было рассмотрено два типа конструкций: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Конструкции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лексическим посессором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в которых вершиной конструкции является существительное;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Конструкции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анафорическим посессором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в которых вершиной является посессивное местоимение;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Работа строилась на базе уже существующих грамматических описаний.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Посессивные ИГ в юго-западных языках манде: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4.1. Посессивные ИГ в менде:</w:t>
      </w:r>
    </w:p>
    <w:tbl>
      <w:tblPr>
        <w:tblStyle w:val="Table10"/>
        <w:bidiVisual w:val="0"/>
        <w:tblW w:w="61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2805"/>
        <w:gridCol w:w="2295"/>
        <w:tblGridChange w:id="0">
          <w:tblGrid>
            <w:gridCol w:w="1020"/>
            <w:gridCol w:w="2805"/>
            <w:gridCol w:w="22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365"/>
              <w:gridCol w:w="1605"/>
              <w:tblGridChange w:id="0">
                <w:tblGrid>
                  <w:gridCol w:w="1365"/>
                  <w:gridCol w:w="16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ndòpói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bówὲí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ребенок.DEF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нож.DEF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‘нож ребенка’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39]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28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80"/>
              <w:gridCol w:w="1785"/>
              <w:tblGridChange w:id="0">
                <w:tblGrid>
                  <w:gridCol w:w="1080"/>
                  <w:gridCol w:w="178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ngì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bówὲí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нож.DEF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‘его/её нож'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39]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32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25"/>
              <w:gridCol w:w="900"/>
              <w:gridCol w:w="1245"/>
              <w:tblGridChange w:id="0">
                <w:tblGrid>
                  <w:gridCol w:w="1125"/>
                  <w:gridCol w:w="900"/>
                  <w:gridCol w:w="124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ndòpói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ngí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njé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ебе-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нок.DEF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‘мать ребенка’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43]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286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456"/>
              <w:gridCol w:w="1413"/>
              <w:tblGridChange w:id="0">
                <w:tblGrid>
                  <w:gridCol w:w="1456"/>
                  <w:gridCol w:w="141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ngí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njé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мать’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43]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nje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3SG.POSS/мать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мать'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[Dwyer 1973: 65]</w:t>
            </w:r>
          </w:p>
        </w:tc>
      </w:tr>
      <w:tr>
        <w:trPr>
          <w:trHeight w:val="24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288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676"/>
              <w:gridCol w:w="1206"/>
              <w:tblGridChange w:id="0">
                <w:tblGrid>
                  <w:gridCol w:w="1676"/>
                  <w:gridCol w:w="120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left" w:pos="747"/>
                    </w:tabs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ndòpói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nókpέí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ребенок.DEF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нос.DEF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'нос ребенка'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39]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0"/>
              <w:tblW w:w="27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65"/>
              <w:gridCol w:w="1695"/>
              <w:tblGridChange w:id="0">
                <w:tblGrid>
                  <w:gridCol w:w="1065"/>
                  <w:gridCol w:w="169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ngí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nókpέí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нос.DEF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нос'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1971: 40]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4.2. Посессивные ИГ в локо:</w:t>
      </w:r>
    </w:p>
    <w:tbl>
      <w:tblPr>
        <w:tblStyle w:val="Table16"/>
        <w:bidiVisual w:val="0"/>
        <w:tblW w:w="61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2535"/>
        <w:gridCol w:w="2430"/>
        <w:tblGridChange w:id="0">
          <w:tblGrid>
            <w:gridCol w:w="1155"/>
            <w:gridCol w:w="2535"/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bidiVisual w:val="0"/>
              <w:tblW w:w="29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55"/>
              <w:gridCol w:w="1830"/>
              <w:tblGridChange w:id="0">
                <w:tblGrid>
                  <w:gridCol w:w="1155"/>
                  <w:gridCol w:w="183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nyahai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bεrεi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женщина.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дом.DEF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'дом женщины’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1964: 140]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80"/>
              <w:gridCol w:w="1890"/>
              <w:tblGridChange w:id="0">
                <w:tblGrid>
                  <w:gridCol w:w="1080"/>
                  <w:gridCol w:w="189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bεrεi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дом.DEF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дом'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1964: 140]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Примеры не были  обнаружены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40"/>
              <w:gridCol w:w="1830"/>
              <w:tblGridChange w:id="0">
                <w:tblGrid>
                  <w:gridCol w:w="1140"/>
                  <w:gridCol w:w="183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ndege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сиблинг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сиблинг'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1964: 141]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ngede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3SG.POSS/сиблинг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сиблинг'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[Dwyer 1973: 96]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bidiVisual w:val="0"/>
              <w:tblW w:w="2850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900"/>
              <w:gridCol w:w="720"/>
              <w:gridCol w:w="1230"/>
              <w:tblGridChange w:id="0">
                <w:tblGrid>
                  <w:gridCol w:w="900"/>
                  <w:gridCol w:w="720"/>
                  <w:gridCol w:w="123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kui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bu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nda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ман-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густ.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DEF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нора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рот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'Рот норы мангуста'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1964: 160]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230"/>
              <w:gridCol w:w="1740"/>
              <w:tblGridChange w:id="0">
                <w:tblGrid>
                  <w:gridCol w:w="1230"/>
                  <w:gridCol w:w="174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ala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gbaki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плечо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плечо'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[Innes 1964: 140]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4.3. Посессивные ИГ в банди:</w:t>
      </w:r>
    </w:p>
    <w:tbl>
      <w:tblPr>
        <w:tblStyle w:val="Table22"/>
        <w:bidiVisual w:val="0"/>
        <w:tblW w:w="61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2640"/>
        <w:gridCol w:w="2415"/>
        <w:tblGridChange w:id="0">
          <w:tblGrid>
            <w:gridCol w:w="1050"/>
            <w:gridCol w:w="2640"/>
            <w:gridCol w:w="24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bidiVisual w:val="0"/>
              <w:tblW w:w="30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305"/>
              <w:gridCol w:w="1740"/>
              <w:tblGridChange w:id="0">
                <w:tblGrid>
                  <w:gridCol w:w="1305"/>
                  <w:gridCol w:w="174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left" w:pos="867"/>
                    </w:tabs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nyahaí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vέlὲí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женщина.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дом.DEF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'дом женщины'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[аноним: 14]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bidiVisual w:val="0"/>
              <w:tblW w:w="27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55"/>
              <w:gridCol w:w="1560"/>
              <w:tblGridChange w:id="0">
                <w:tblGrid>
                  <w:gridCol w:w="1155"/>
                  <w:gridCol w:w="156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ngi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vέlὲí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дом.DEF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дом'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[аноним: 20]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Примеры не были обнаружены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bidiVisual w:val="0"/>
              <w:tblW w:w="2727.0000000000005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419"/>
              <w:gridCol w:w="1308"/>
              <w:tblGridChange w:id="0">
                <w:tblGrid>
                  <w:gridCol w:w="1419"/>
                  <w:gridCol w:w="130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ngì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njéé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мать'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[Kovac 1978: 20]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bidiVisual w:val="0"/>
              <w:tblW w:w="36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25"/>
              <w:gridCol w:w="690"/>
              <w:gridCol w:w="2160"/>
              <w:tblGridChange w:id="0">
                <w:tblGrid>
                  <w:gridCol w:w="825"/>
                  <w:gridCol w:w="690"/>
                  <w:gridCol w:w="216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tɛiwɔ´ɔ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kɔwɔ´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yángí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черный чело-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век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ступ-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ня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поверх-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ность.DEF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'поверхность ступни черного человека'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[Grossmann 1992: 183]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bidiVisual w:val="0"/>
              <w:tblW w:w="272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727"/>
              <w:tblGridChange w:id="0">
                <w:tblGrid>
                  <w:gridCol w:w="272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tòkòí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3SG.POSS/рука.DEF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рука'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[аноним: 21]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4.4. Посессивные ИГ в зиало:</w:t>
      </w:r>
    </w:p>
    <w:tbl>
      <w:tblPr>
        <w:tblStyle w:val="Table30"/>
        <w:bidiVisual w:val="0"/>
        <w:tblW w:w="61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2505"/>
        <w:gridCol w:w="2385"/>
        <w:tblGridChange w:id="0">
          <w:tblGrid>
            <w:gridCol w:w="1215"/>
            <w:gridCol w:w="2505"/>
            <w:gridCol w:w="23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bidiVisual w:val="0"/>
              <w:tblW w:w="30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50"/>
              <w:gridCol w:w="2025"/>
              <w:tblGridChange w:id="0">
                <w:tblGrid>
                  <w:gridCol w:w="1050"/>
                  <w:gridCol w:w="202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Kòlì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lòmã-gì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Коли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рубашка-DEF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'рубашка Коли’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111]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gé-lòmã-gì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3SG.POSS-рубашка-DEF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рубашка'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111]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480"/>
              <w:gridCol w:w="1481"/>
              <w:tblGridChange w:id="0">
                <w:tblGrid>
                  <w:gridCol w:w="1480"/>
                  <w:gridCol w:w="148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ɓòlá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kέέγὲ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друг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отец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'отец друга'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91]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gé-kέέγὲ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3SG.POSS-отец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отец'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88]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65"/>
              <w:gridCol w:w="1905"/>
              <w:tblGridChange w:id="0">
                <w:tblGrid>
                  <w:gridCol w:w="1065"/>
                  <w:gridCol w:w="19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gìlà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wò-gì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собака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хвост-DEF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'хвост собаки'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69]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(ˊ)-tókó-y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3SG.POSS-рука-DEF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gé-lókó-y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3SG.POSS-рука-DEF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рука'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[Бабаев 2011: 112]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4.5. Посессивные ИГ в гвинейском лоома:</w:t>
      </w:r>
    </w:p>
    <w:tbl>
      <w:tblPr>
        <w:tblStyle w:val="Table37"/>
        <w:bidiVisual w:val="0"/>
        <w:tblW w:w="61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2490"/>
        <w:gridCol w:w="2520"/>
        <w:tblGridChange w:id="0">
          <w:tblGrid>
            <w:gridCol w:w="1110"/>
            <w:gridCol w:w="2490"/>
            <w:gridCol w:w="25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bidiVisual w:val="0"/>
              <w:tblW w:w="38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5"/>
              <w:gridCol w:w="690"/>
              <w:gridCol w:w="2310"/>
              <w:tblGridChange w:id="0">
                <w:tblGrid>
                  <w:gridCol w:w="885"/>
                  <w:gridCol w:w="690"/>
                  <w:gridCol w:w="231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Zúnùí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ná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kpálagì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чело-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век.DEF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фер-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'ферма человека'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[Heydorn 1971: 83]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bidiVisual w:val="0"/>
              <w:tblW w:w="27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50"/>
              <w:gridCol w:w="1665"/>
              <w:tblGridChange w:id="0">
                <w:tblGrid>
                  <w:gridCol w:w="1050"/>
                  <w:gridCol w:w="166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ná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kpálàgí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ферма.DEF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ферма'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[Heydorn 1971: 85]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bidiVisual w:val="0"/>
              <w:tblW w:w="31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5"/>
              <w:gridCol w:w="2280"/>
              <w:tblGridChange w:id="0">
                <w:tblGrid>
                  <w:gridCol w:w="885"/>
                  <w:gridCol w:w="22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Folomo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de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Фоломо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'мать Фоломо'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[Выдрин 1987: 39]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bidiVisual w:val="0"/>
              <w:tblW w:w="272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721"/>
              <w:tblGridChange w:id="0">
                <w:tblGrid>
                  <w:gridCol w:w="272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de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мать'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[Выдрин 1987: 39]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60"/>
              <w:gridCol w:w="2010"/>
              <w:tblGridChange w:id="0">
                <w:tblGrid>
                  <w:gridCol w:w="960"/>
                  <w:gridCol w:w="201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Folomo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wɔ ̀wɔ ̀í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Фоломо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нога.DEF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'нога Фоломо'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[Выдрин 1987: 39]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bidiVisual w:val="0"/>
              <w:tblW w:w="272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721"/>
              <w:tblGridChange w:id="0">
                <w:tblGrid>
                  <w:gridCol w:w="272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kɔ ́wɔ ́ì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3SG.POSS/нога.DEF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нога'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[Mishenko 2010: 32]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4.6. Посессивные ИГ в гвинейском кпелле:</w:t>
      </w:r>
      <w:r w:rsidDel="00000000" w:rsidR="00000000" w:rsidRPr="00000000">
        <w:rPr>
          <w:rtl w:val="0"/>
        </w:rPr>
      </w:r>
    </w:p>
    <w:tbl>
      <w:tblPr>
        <w:tblStyle w:val="Table44"/>
        <w:bidiVisual w:val="0"/>
        <w:tblW w:w="61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2445"/>
        <w:gridCol w:w="2415"/>
        <w:tblGridChange w:id="0">
          <w:tblGrid>
            <w:gridCol w:w="1260"/>
            <w:gridCol w:w="2445"/>
            <w:gridCol w:w="24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 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bidiVisual w:val="0"/>
              <w:tblW w:w="297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09"/>
              <w:gridCol w:w="750"/>
              <w:gridCol w:w="1320"/>
              <w:tblGridChange w:id="0">
                <w:tblGrid>
                  <w:gridCol w:w="909"/>
                  <w:gridCol w:w="750"/>
                  <w:gridCol w:w="13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Hèhèè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ŋɔ ̀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ɓέláá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Хехе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овца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'овца Хехе’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18]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55"/>
              <w:gridCol w:w="1815"/>
              <w:tblGridChange w:id="0">
                <w:tblGrid>
                  <w:gridCol w:w="1155"/>
                  <w:gridCol w:w="181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ŋɔ ̀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ɓέláá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овца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овца'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18]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70"/>
              <w:gridCol w:w="2100"/>
              <w:tblGridChange w:id="0">
                <w:tblGrid>
                  <w:gridCol w:w="870"/>
                  <w:gridCol w:w="21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Hèhèè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ṅáŋ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Хехе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3SG.POSS/отец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'отец Хехе'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19]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ṅáŋ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3SG.POSS/отец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отец'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19]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bidiVisual w:val="0"/>
              <w:tblW w:w="2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60"/>
              <w:gridCol w:w="2010"/>
              <w:tblGridChange w:id="0">
                <w:tblGrid>
                  <w:gridCol w:w="960"/>
                  <w:gridCol w:w="201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ɲála ̌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kɔ ̀lɔ ̌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лев.DEF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кожа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'кожа льва'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6]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bidiVisual w:val="0"/>
              <w:tblW w:w="29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1"/>
              <w:tblGridChange w:id="0">
                <w:tblGrid>
                  <w:gridCol w:w="29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gɔ ̀lɔ ̌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3SG.POSS/кожа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кожа'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[Коношенко 2015: 6]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4.7. Посессивные ИГ в либерийском кпелле:</w:t>
      </w:r>
      <w:r w:rsidDel="00000000" w:rsidR="00000000" w:rsidRPr="00000000">
        <w:rPr>
          <w:rtl w:val="0"/>
        </w:rPr>
      </w:r>
    </w:p>
    <w:tbl>
      <w:tblPr>
        <w:tblStyle w:val="Table51"/>
        <w:bidiVisual w:val="0"/>
        <w:tblW w:w="610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2925"/>
        <w:gridCol w:w="2175"/>
        <w:tblGridChange w:id="0">
          <w:tblGrid>
            <w:gridCol w:w="1005"/>
            <w:gridCol w:w="2925"/>
            <w:gridCol w:w="21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Лексический посессор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Анафорический посессор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Отчужд.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сущ.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bidiVisual w:val="0"/>
              <w:tblW w:w="45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05"/>
              <w:gridCol w:w="735"/>
              <w:gridCol w:w="2805"/>
              <w:tblGridChange w:id="0">
                <w:tblGrid>
                  <w:gridCol w:w="1005"/>
                  <w:gridCol w:w="735"/>
                  <w:gridCol w:w="28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naloŋ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kpalaŋ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мужчина.INDEF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ферма.DEF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'ферма мужчины’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[Westermann &amp; Melzian 1930: 4]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bidiVisual w:val="0"/>
              <w:tblW w:w="28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60"/>
              <w:gridCol w:w="1860"/>
              <w:tblGridChange w:id="0">
                <w:tblGrid>
                  <w:gridCol w:w="960"/>
                  <w:gridCol w:w="186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 a̍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pέlέí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дом.DEF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дом'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[Westermann &amp; Melzian 1930: 13]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bidiVisual w:val="0"/>
              <w:tblW w:w="31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40"/>
              <w:gridCol w:w="2025"/>
              <w:tblGridChange w:id="0">
                <w:tblGrid>
                  <w:gridCol w:w="1140"/>
                  <w:gridCol w:w="202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̍káloŋ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ǹee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вождь.DEF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'мать вождя'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[Welmers 1962: 81]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bidiVisual w:val="0"/>
              <w:tblW w:w="28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30"/>
              <w:tblGridChange w:id="0">
                <w:tblGrid>
                  <w:gridCol w:w="283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ǹee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3SG.POSS/мать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мать'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[Welmers 1969: 74]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Части тела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bidiVisual w:val="0"/>
              <w:tblW w:w="31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590"/>
              <w:gridCol w:w="1545"/>
              <w:tblGridChange w:id="0">
                <w:tblGrid>
                  <w:gridCol w:w="1590"/>
                  <w:gridCol w:w="154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nú̄u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yeé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человек.INDEF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рука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'рука человека'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[Welmers 1969: 74]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bidiVisual w:val="0"/>
              <w:tblW w:w="28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30"/>
              <w:tblGridChange w:id="0">
                <w:tblGrid>
                  <w:gridCol w:w="283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  <w:rtl w:val="0"/>
                    </w:rPr>
                    <w:t xml:space="preserve">nyeé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3SG.POSS/рука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'его/её рука'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[Welmers 1969: 74]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Обобщающие таблицы по применению тональных правил, серий посессивных местоимений и наличию/отсутствию дублирования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5.1. Тональные правила в посессивных ИГ в ЮЗМ: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Тональные правила, релевантные для посессивных ИГ, были обнаружены в трех языках  из семи, а именно в менде, локо, банди и гвинейского лоома. Для зиало, гвинейского кпелле и либерийского кпелле таких правил, по-видимому, нет.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2"/>
        <w:bidiVisual w:val="0"/>
        <w:tblW w:w="6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620"/>
        <w:gridCol w:w="2190"/>
        <w:gridCol w:w="1470"/>
        <w:tblGridChange w:id="0">
          <w:tblGrid>
            <w:gridCol w:w="840"/>
            <w:gridCol w:w="1620"/>
            <w:gridCol w:w="2190"/>
            <w:gridCol w:w="147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Отчуждаемые сущ.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Части тела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Менде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Копирование высокого тона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Понижение тона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Понижение тона в конструкциях вида [3SG.POSS]+[сущ]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Не подвергается копированию высокого тона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 подвергается копированию высокого тона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Локо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Понижение тона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Перемещение высокого тона (обязательно)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Понижение тона в конструкциях вида [3SG.POSS]+[сущ]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Перемещение высокого тона (опционально)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Перемещение высокого тона (опционально)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Банди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Понижение тона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Понижение тона в конструкциях вида [3SG.POSS]+[сущ]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Продвижение низкого тона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Продвижение низкого тона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Гвинейский лоома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Повышение тона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Не существует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Не существует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5.2. Таблица по наличию/отсутствию дублирования (в конструкциях с лексическим посессором):</w:t>
      </w:r>
      <w:r w:rsidDel="00000000" w:rsidR="00000000" w:rsidRPr="00000000">
        <w:rPr>
          <w:rtl w:val="0"/>
        </w:rPr>
      </w:r>
    </w:p>
    <w:tbl>
      <w:tblPr>
        <w:tblStyle w:val="Table53"/>
        <w:bidiVisual w:val="0"/>
        <w:tblW w:w="6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530"/>
        <w:gridCol w:w="1530"/>
        <w:gridCol w:w="1530"/>
        <w:tblGridChange w:id="0">
          <w:tblGrid>
            <w:gridCol w:w="1530"/>
            <w:gridCol w:w="1530"/>
            <w:gridCol w:w="1530"/>
            <w:gridCol w:w="15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Отчуждаемые существительные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Части тела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Менде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Локо, банди, зиало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Гвинейский лоома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+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Гвинейский кпелле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Либерийский кпелле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Посессивные местоимения в ПИГ ЮЗМ (в конструкциях с анафорическим посессором):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рассмотренных языках используется от двух до трех серий посессивных местоимений. В большинстве случаев вторая (и третья, при её наличии) серия, используемая для того или иного класса, состоит только из местоимений 1 и 3SG.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4"/>
        <w:bidiVisual w:val="0"/>
        <w:tblW w:w="591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065"/>
        <w:gridCol w:w="2070"/>
        <w:gridCol w:w="1920"/>
        <w:tblGridChange w:id="0">
          <w:tblGrid>
            <w:gridCol w:w="855"/>
            <w:gridCol w:w="1065"/>
            <w:gridCol w:w="2070"/>
            <w:gridCol w:w="1920"/>
          </w:tblGrid>
        </w:tblGridChange>
      </w:tblGrid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Отчуждаемые сущ.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Термины родства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Части тела</w:t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Менде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 ngi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 тональный префикс, выраженный низким тоном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Локо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 ngí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-тональный префикс, выраженный низким тоном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alá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Банди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ngí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Зиало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gé-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gé-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 gé-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- тональный префикс, выраженный высоким тоном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Гв. лоома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ná(g)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́g)-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Гв. кпелле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ŋ ̀ɔ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n ̀-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Либ. кпелле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a̍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 Обобщающие схемы по наличию или отсутствию сходства между ИГ с существительными-вершинами разных классов.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6.1. Цветовая карта: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Использование тональных правил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18"/>
          <w:szCs w:val="18"/>
          <w:rtl w:val="0"/>
        </w:rPr>
        <w:t xml:space="preserve">Использование посессивных местоимений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a9999"/>
          <w:sz w:val="18"/>
          <w:szCs w:val="18"/>
          <w:rtl w:val="0"/>
        </w:rPr>
        <w:t xml:space="preserve">Наличие дублирования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Схемы для языков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Менде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794635" cy="2102826"/>
            <wp:effectExtent b="0" l="0" r="0" t="0"/>
            <wp:docPr descr="mende1.jpg" id="6" name="image11.jpg"/>
            <a:graphic>
              <a:graphicData uri="http://schemas.openxmlformats.org/drawingml/2006/picture">
                <pic:pic>
                  <pic:nvPicPr>
                    <pic:cNvPr descr="mende1.jpg" id="0" name="image1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102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Локо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116605" cy="2329815"/>
            <wp:effectExtent b="0" l="0" r="0" t="0"/>
            <wp:docPr descr="loko1.jpg" id="2" name="image07.jpg"/>
            <a:graphic>
              <a:graphicData uri="http://schemas.openxmlformats.org/drawingml/2006/picture">
                <pic:pic>
                  <pic:nvPicPr>
                    <pic:cNvPr descr="loko1.jpg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6605" cy="2329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Банди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248205" cy="2444115"/>
            <wp:effectExtent b="0" l="0" r="0" t="0"/>
            <wp:docPr descr="bandi1.jpg" id="4" name="image09.jpg"/>
            <a:graphic>
              <a:graphicData uri="http://schemas.openxmlformats.org/drawingml/2006/picture">
                <pic:pic>
                  <pic:nvPicPr>
                    <pic:cNvPr descr="bandi1.jpg" id="0" name="image0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205" cy="2444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Зиало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43275" cy="2515651"/>
            <wp:effectExtent b="0" l="0" r="0" t="0"/>
            <wp:docPr descr="zialo1.jpg" id="5" name="image10.jpg"/>
            <a:graphic>
              <a:graphicData uri="http://schemas.openxmlformats.org/drawingml/2006/picture">
                <pic:pic>
                  <pic:nvPicPr>
                    <pic:cNvPr descr="zialo1.jpg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15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Гвинейский лоома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103245" cy="2318413"/>
            <wp:effectExtent b="0" l="0" r="0" t="0"/>
            <wp:docPr descr="looma.jpg" id="3" name="image08.jpg"/>
            <a:graphic>
              <a:graphicData uri="http://schemas.openxmlformats.org/drawingml/2006/picture">
                <pic:pic>
                  <pic:nvPicPr>
                    <pic:cNvPr descr="looma.jpg"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318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Гвинейский кпелле, либерийский кпелле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207697" cy="2413635"/>
            <wp:effectExtent b="0" l="0" r="0" t="0"/>
            <wp:docPr descr="guikpelle.jpg" id="1" name="image06.jpg"/>
            <a:graphic>
              <a:graphicData uri="http://schemas.openxmlformats.org/drawingml/2006/picture">
                <pic:pic>
                  <pic:nvPicPr>
                    <pic:cNvPr descr="guikpelle.jpg" id="0" name="image0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7697" cy="2413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Список сокращений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3 - третье лицо, DEF - определенный артикль, INDEF - неопределенный артикль, PL - множественное число, POSS - посессивность, SG - единственное число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Тональные обозначения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á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 с высоким тоном;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à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а с низким тоном;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а с маргинальным средним тоном, появляющемся только вследствие применения тех или иных тональных правил;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 ̌ -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а с плавающим высоким тоном (возрастающим);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а с плавающим низким тоном (падающим);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а с назализацией;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Список литературы: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Бабаев К. Язык зиало. Грамматические очерк и словарь // РГГУ, М. 2011.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Выдрин В. Ф. Язык лоома // М.: “Наука”, 1987.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Кибрик А. Е. Родственные языки как объект типологии // Кибрик А. Е. Константы и переменные языка. СПб.: Алетейя,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Коношенко М. Б. Лично-числовое согласование в языках манде: внутригенетическая типология. Дисс. … канд. филол. наук. М., 2014.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Коношенко М. Б. Кпелле язык // Языки мира, 2015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Шлуинский А. Б. Внутригенетическая типология: методологические замечания // Язык. Константы. Переменные. Памяти А. Е. Кибрика: 127-139, Спб.: Алетейя,  2014.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Anonyme ms. A Bandi Grammar. Unpublished Manuscript. Vols. I-II // Monrovia: the Institute for Liberian Languages.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Croft W. Typology and universals // Cambridge: Cambridge University Press, 1990.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Dwyer D. J. The comparative topology of southwestern made nominal // Michigan State University, Ph. D., 1973.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Grossmann R. Discourse grammar of Bandi // M. A. University of Texas at Arlington, 1992.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Heine B. Possession. Cognitive sources, forces, and grammaticalization. Cambridge: Cambridge University Press, 1997.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Heydorn R. Grammar of the Loma Language with some K¢n¢ Words in the Vocabulary // Afrika und Übersee (Hamburg), Bd. 54, H. 1/2,1971.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Innes G. An Outline Grammar of Loco with texts // African Language Studies, 1964.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Innes G. A practical introduction to Mende // London: School Of Oriental and African Studies, 1971.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Konoshenko M. The syntax of tone in Guinean Kpelle // RSUH, Moscow, 2012.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Koptjevskaja-Tamm M. Possessive noun phrases in the languages of Europe // Empirical Approaches to Language Typology. Eurotypology 20-7: 621-722, 2003.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Kovac D. A preliminary phonology of Bandi, May 1978.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Mishenko D. Pronominal system of the Looma language: the Woi-Balagha dialect.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Agreement // Konstantin Pozdniakov, Valentin Vydrin, Alexander Zheltov (eds.). Personal pronouns in Niger-Congo languages: International workshop. St. Petersburg, September 13–15, 2010. Abstracts and papers: Working materials. St. Petersburg: St. Petersburg University Press, 2010. pp. 97–105.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Nichols J. Head-marking and dependent-marking grammar. Language 62(1). 56-119, 1986.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Nichols J. &amp; Bickel B. Inflectional Morphology // Shopen, T. (ed.) Language typology and syntactic description, 169-240. Cambridge: Cambridge University Press,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Welmers W. E. The morphology of Kpelle nominal // Journal of African Languages 8 (2) 73-101, 1969.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Welmers W. E. The Phonology of Kpelle // Journal of African Languages 1 (1): 69-93, 1962.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567"/>
        <w:contextualSpacing w:val="1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Westermann D. &amp; Melzian H. Grammatical outline, colloquial sentences and vocabulary // Dietrich Reiner / Ersnst vonsex – Berlin 1930.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/>
      <w:pgMar w:bottom="1440" w:top="1440" w:left="1440" w:right="1440"/>
      <w:pgNumType w:start="1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 XIII конференция по типологии и грамматике для молодых исследователей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Санкт-Петербург, 24-26 ноября 2016 г.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О. А. Воронцова, РГГУ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6.jpg"/><Relationship Id="rId12" Type="http://schemas.openxmlformats.org/officeDocument/2006/relationships/footer" Target="footer1.xml"/><Relationship Id="rId9" Type="http://schemas.openxmlformats.org/officeDocument/2006/relationships/image" Target="media/image08.jpg"/><Relationship Id="rId5" Type="http://schemas.openxmlformats.org/officeDocument/2006/relationships/image" Target="media/image11.jpg"/><Relationship Id="rId6" Type="http://schemas.openxmlformats.org/officeDocument/2006/relationships/image" Target="media/image07.jpg"/><Relationship Id="rId7" Type="http://schemas.openxmlformats.org/officeDocument/2006/relationships/image" Target="media/image09.jpg"/><Relationship Id="rId8" Type="http://schemas.openxmlformats.org/officeDocument/2006/relationships/image" Target="media/image10.jpg"/></Relationships>
</file>